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93" w:line="209" w:lineRule="auto"/>
        <w:ind w:left="0"/>
        <w:jc w:val="center"/>
        <w:textAlignment w:val="baseline"/>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深圳市电力工程专业工程师（中级）-自评符合申报职称资格条件情况审核表</w:t>
      </w:r>
    </w:p>
    <w:p>
      <w:pPr>
        <w:keepNext w:val="0"/>
        <w:keepLines w:val="0"/>
        <w:pageBreakBefore w:val="0"/>
        <w:widowControl/>
        <w:kinsoku w:val="0"/>
        <w:wordWrap/>
        <w:overflowPunct/>
        <w:topLinePunct w:val="0"/>
        <w:autoSpaceDE w:val="0"/>
        <w:autoSpaceDN w:val="0"/>
        <w:bidi w:val="0"/>
        <w:adjustRightInd w:val="0"/>
        <w:snapToGrid w:val="0"/>
        <w:spacing w:before="93" w:line="209" w:lineRule="auto"/>
        <w:ind w:left="0"/>
        <w:jc w:val="center"/>
        <w:textAlignment w:val="baseline"/>
        <w:outlineLvl w:val="0"/>
        <w:rPr>
          <w:rFonts w:hint="eastAsia" w:ascii="方正小标宋_GBK" w:hAnsi="方正小标宋_GBK" w:eastAsia="方正小标宋_GBK" w:cs="方正小标宋_GBK"/>
          <w:sz w:val="44"/>
          <w:szCs w:val="44"/>
        </w:rPr>
      </w:pPr>
    </w:p>
    <w:p>
      <w:pPr>
        <w:spacing w:before="1" w:line="220" w:lineRule="auto"/>
        <w:ind w:left="12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14:textOutline w14:w="4013" w14:cap="sq" w14:cmpd="sng">
            <w14:solidFill>
              <w14:srgbClr w14:val="000000"/>
            </w14:solidFill>
            <w14:prstDash w14:val="solid"/>
            <w14:bevel/>
          </w14:textOutline>
        </w:rPr>
        <w:t>清洁能源动力工程、热能与动力工程、电力通信与信息专业</w:t>
      </w:r>
    </w:p>
    <w:p>
      <w:pPr>
        <w:spacing w:line="25" w:lineRule="auto"/>
        <w:rPr>
          <w:rFonts w:ascii="Arial"/>
          <w:sz w:val="2"/>
        </w:rPr>
      </w:pPr>
    </w:p>
    <w:tbl>
      <w:tblPr>
        <w:tblStyle w:val="6"/>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5" w:line="312" w:lineRule="auto"/>
              <w:ind w:left="116"/>
              <w:textAlignment w:val="baseline"/>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r>
              <w:rPr>
                <w:spacing w:val="-1"/>
              </w:rPr>
              <w:t xml:space="preserve">  </w:t>
            </w:r>
            <w:r>
              <w:rPr>
                <w:color w:val="FF0000"/>
                <w:spacing w:val="-1"/>
                <w14:textOutline w14:w="4013" w14:cap="sq" w14:cmpd="sng">
                  <w14:solidFill>
                    <w14:srgbClr w14:val="FF0000"/>
                  </w14:solidFill>
                  <w14:prstDash w14:val="solid"/>
                  <w14:bevel/>
                </w14:textOutline>
              </w:rPr>
              <w:t>（请用正楷填写）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11" w:line="312" w:lineRule="auto"/>
              <w:ind w:left="118"/>
              <w:textAlignment w:val="baseline"/>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r>
              <w:rPr>
                <w:spacing w:val="-1"/>
              </w:rPr>
              <w:t xml:space="preserve">  </w:t>
            </w:r>
            <w:r>
              <w:rPr>
                <w:color w:val="FF0000"/>
                <w:spacing w:val="-1"/>
                <w14:textOutline w14:w="4013" w14:cap="sq" w14:cmpd="sng">
                  <w14:solidFill>
                    <w14:srgbClr w14:val="FF0000"/>
                  </w14:solidFill>
                  <w14:prstDash w14:val="solid"/>
                  <w14:bevel/>
                </w14:textOutline>
              </w:rPr>
              <w:t>（请用正楷填写）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46" w:line="312" w:lineRule="auto"/>
              <w:ind w:left="152"/>
              <w:textAlignment w:val="baseline"/>
            </w:pPr>
            <w:r>
              <w:rPr>
                <w:spacing w:val="-4"/>
                <w14:textOutline w14:w="4013" w14:cap="sq" w14:cmpd="sng">
                  <w14:solidFill>
                    <w14:srgbClr w14:val="000000"/>
                  </w14:solidFill>
                  <w14:prstDash w14:val="solid"/>
                  <w14:bevel/>
                </w14:textOutline>
              </w:rPr>
              <w:t>自评符合申报专业情况</w:t>
            </w:r>
          </w:p>
          <w:p>
            <w:pPr>
              <w:pStyle w:val="7"/>
              <w:keepNext w:val="0"/>
              <w:keepLines w:val="0"/>
              <w:pageBreakBefore w:val="0"/>
              <w:widowControl/>
              <w:kinsoku w:val="0"/>
              <w:wordWrap/>
              <w:overflowPunct/>
              <w:topLinePunct w:val="0"/>
              <w:autoSpaceDE w:val="0"/>
              <w:autoSpaceDN w:val="0"/>
              <w:bidi w:val="0"/>
              <w:adjustRightInd w:val="0"/>
              <w:snapToGrid w:val="0"/>
              <w:spacing w:before="48" w:line="312" w:lineRule="auto"/>
              <w:ind w:left="115"/>
              <w:textAlignment w:val="baseline"/>
            </w:pPr>
            <w:r>
              <w:rPr>
                <w:color w:val="FF0000"/>
                <w:spacing w:val="-4"/>
              </w:rPr>
              <w:t>选择专业（请在以下选项中打“√”)</w:t>
            </w:r>
          </w:p>
          <w:p>
            <w:pPr>
              <w:pStyle w:val="7"/>
              <w:keepNext w:val="0"/>
              <w:keepLines w:val="0"/>
              <w:pageBreakBefore w:val="0"/>
              <w:widowControl/>
              <w:kinsoku w:val="0"/>
              <w:wordWrap/>
              <w:overflowPunct/>
              <w:topLinePunct w:val="0"/>
              <w:autoSpaceDE w:val="0"/>
              <w:autoSpaceDN w:val="0"/>
              <w:bidi w:val="0"/>
              <w:adjustRightInd w:val="0"/>
              <w:snapToGrid w:val="0"/>
              <w:spacing w:before="162" w:line="312" w:lineRule="auto"/>
              <w:ind w:left="157"/>
              <w:textAlignment w:val="baseline"/>
            </w:pPr>
            <w:r>
              <w:rPr>
                <w:rFonts w:hint="eastAsia"/>
              </w:rPr>
              <w:sym w:font="Wingdings 2" w:char="00A3"/>
            </w:r>
            <w:r>
              <w:rPr>
                <w:rFonts w:hint="eastAsia"/>
              </w:rPr>
              <w:t>清洁能源动力工程</w:t>
            </w:r>
            <w:r>
              <w:rPr>
                <w:rFonts w:hint="eastAsia"/>
                <w:lang w:val="en-US" w:eastAsia="zh-CN"/>
              </w:rPr>
              <w:t xml:space="preserve">  </w:t>
            </w:r>
            <w:r>
              <w:rPr>
                <w:rFonts w:hint="eastAsia"/>
                <w:lang w:val="en-US" w:eastAsia="zh-CN"/>
              </w:rPr>
              <w:sym w:font="Wingdings 2" w:char="00A3"/>
            </w:r>
            <w:r>
              <w:rPr>
                <w:rFonts w:hint="eastAsia"/>
              </w:rPr>
              <w:t>热能与动力工程</w:t>
            </w:r>
            <w:r>
              <w:rPr>
                <w:rFonts w:hint="eastAsia"/>
                <w:lang w:val="en-US" w:eastAsia="zh-CN"/>
              </w:rPr>
              <w:t xml:space="preserve">  </w:t>
            </w:r>
            <w:r>
              <w:rPr>
                <w:rFonts w:hint="eastAsia"/>
                <w:lang w:val="en-US" w:eastAsia="zh-CN"/>
              </w:rPr>
              <w:sym w:font="Wingdings 2" w:char="00A3"/>
            </w:r>
            <w:r>
              <w:rPr>
                <w:rFonts w:hint="eastAsia"/>
              </w:rPr>
              <w:t>电力通信与信息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48" w:line="312" w:lineRule="auto"/>
              <w:ind w:left="152"/>
              <w:textAlignment w:val="baseline"/>
            </w:pPr>
            <w:r>
              <w:rPr>
                <w:spacing w:val="-3"/>
                <w14:textOutline w14:w="4013" w14:cap="sq" w14:cmpd="sng">
                  <w14:solidFill>
                    <w14:srgbClr w14:val="000000"/>
                  </w14:solidFill>
                  <w14:prstDash w14:val="solid"/>
                  <w14:bevel/>
                </w14:textOutline>
              </w:rPr>
              <w:t>自评符合申报类型条件情况</w:t>
            </w:r>
          </w:p>
          <w:p>
            <w:pPr>
              <w:pStyle w:val="7"/>
              <w:keepNext w:val="0"/>
              <w:keepLines w:val="0"/>
              <w:pageBreakBefore w:val="0"/>
              <w:widowControl/>
              <w:kinsoku w:val="0"/>
              <w:wordWrap/>
              <w:overflowPunct/>
              <w:topLinePunct w:val="0"/>
              <w:autoSpaceDE w:val="0"/>
              <w:autoSpaceDN w:val="0"/>
              <w:bidi w:val="0"/>
              <w:adjustRightInd w:val="0"/>
              <w:snapToGrid w:val="0"/>
              <w:spacing w:before="48" w:line="312" w:lineRule="auto"/>
              <w:ind w:left="144"/>
              <w:textAlignment w:val="baseline"/>
            </w:pPr>
            <w:r>
              <w:rPr>
                <w:color w:val="FF0000"/>
                <w:spacing w:val="-6"/>
              </w:rPr>
              <w:t>申报类型（请在以下选项中打“√”)</w:t>
            </w:r>
          </w:p>
          <w:p>
            <w:pPr>
              <w:pStyle w:val="7"/>
              <w:keepNext w:val="0"/>
              <w:keepLines w:val="0"/>
              <w:pageBreakBefore w:val="0"/>
              <w:widowControl/>
              <w:kinsoku w:val="0"/>
              <w:wordWrap/>
              <w:overflowPunct/>
              <w:topLinePunct w:val="0"/>
              <w:autoSpaceDE w:val="0"/>
              <w:autoSpaceDN w:val="0"/>
              <w:bidi w:val="0"/>
              <w:adjustRightInd w:val="0"/>
              <w:snapToGrid w:val="0"/>
              <w:spacing w:before="161" w:line="312" w:lineRule="auto"/>
              <w:ind w:left="157"/>
              <w:textAlignment w:val="baseline"/>
            </w:pPr>
            <w:r>
              <w:rPr>
                <w:spacing w:val="-14"/>
              </w:rPr>
              <w:sym w:font="Wingdings 2" w:char="00A3"/>
            </w:r>
            <w:r>
              <w:rPr>
                <w:spacing w:val="-14"/>
              </w:rPr>
              <w:t>普通</w:t>
            </w:r>
            <w:r>
              <w:rPr>
                <w:spacing w:val="24"/>
              </w:rPr>
              <w:t xml:space="preserve">  </w:t>
            </w:r>
            <w:r>
              <w:rPr>
                <w:spacing w:val="-14"/>
              </w:rPr>
              <w:sym w:font="Wingdings 2" w:char="00A3"/>
            </w:r>
            <w:r>
              <w:rPr>
                <w:spacing w:val="-14"/>
              </w:rPr>
              <w:t>转系列</w:t>
            </w:r>
            <w:r>
              <w:rPr>
                <w:spacing w:val="25"/>
              </w:rPr>
              <w:t xml:space="preserve">  </w:t>
            </w:r>
            <w:r>
              <w:rPr>
                <w:spacing w:val="-14"/>
              </w:rPr>
              <w:sym w:font="Wingdings 2" w:char="00A3"/>
            </w:r>
            <w:r>
              <w:rPr>
                <w:spacing w:val="-14"/>
              </w:rPr>
              <w:t>转专业</w:t>
            </w:r>
            <w:r>
              <w:rPr>
                <w:spacing w:val="24"/>
              </w:rPr>
              <w:t xml:space="preserve">  </w:t>
            </w:r>
            <w:r>
              <w:rPr>
                <w:spacing w:val="-14"/>
                <w:highlight w:val="none"/>
              </w:rPr>
              <w:sym w:font="Wingdings 2" w:char="00A3"/>
            </w:r>
            <w:r>
              <w:rPr>
                <w:spacing w:val="-14"/>
                <w:highlight w:val="none"/>
              </w:rPr>
              <w:t>破格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5"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15"/>
              <w:textAlignment w:val="baseline"/>
            </w:pPr>
            <w:r>
              <w:rPr>
                <w:color w:val="FF0000"/>
                <w:spacing w:val="-1"/>
              </w:rPr>
              <w:t>佐证材料清单（普通申报不需填写此列</w:t>
            </w:r>
            <w:r>
              <w:rPr>
                <w:color w:val="FF0000"/>
                <w:spacing w:val="-17"/>
              </w:rPr>
              <w:t>）（</w:t>
            </w:r>
            <w:r>
              <w:rPr>
                <w:color w:val="FF0000"/>
                <w:spacing w:val="-1"/>
              </w:rPr>
              <w:t>请在具备材料的选项打</w:t>
            </w:r>
            <w:r>
              <w:rPr>
                <w:color w:val="FF0000"/>
                <w:spacing w:val="-2"/>
              </w:rPr>
              <w:t>“√”)</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 xml:space="preserve">一、符合转系列申报的材料： </w:t>
            </w:r>
            <w:r>
              <w:rPr>
                <w:rFonts w:hint="eastAsia"/>
                <w:spacing w:val="-4"/>
                <w:lang w:val="en-US" w:eastAsia="zh-CN"/>
              </w:rPr>
              <w:sym w:font="Wingdings 2" w:char="00A3"/>
            </w:r>
            <w:r>
              <w:rPr>
                <w:rFonts w:hint="eastAsia"/>
                <w:spacing w:val="-4"/>
                <w:lang w:val="en-US" w:eastAsia="zh-CN"/>
              </w:rPr>
              <w:t xml:space="preserve">原系列同层级职称  </w:t>
            </w:r>
            <w:r>
              <w:rPr>
                <w:rFonts w:hint="eastAsia"/>
                <w:spacing w:val="-4"/>
                <w:lang w:val="en-US" w:eastAsia="zh-CN"/>
              </w:rPr>
              <w:sym w:font="Wingdings 2" w:char="00A3"/>
            </w:r>
            <w:r>
              <w:rPr>
                <w:rFonts w:hint="eastAsia"/>
                <w:spacing w:val="-4"/>
                <w:lang w:val="en-US" w:eastAsia="zh-CN"/>
              </w:rPr>
              <w:t>原系列低一层级职称</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 xml:space="preserve">二、符合转专业申报的材料： </w:t>
            </w:r>
            <w:r>
              <w:rPr>
                <w:rFonts w:hint="eastAsia"/>
                <w:spacing w:val="-4"/>
                <w:lang w:val="en-US" w:eastAsia="zh-CN"/>
              </w:rPr>
              <w:sym w:font="Wingdings 2" w:char="00A3"/>
            </w:r>
            <w:r>
              <w:rPr>
                <w:rFonts w:hint="eastAsia"/>
                <w:spacing w:val="-4"/>
                <w:lang w:val="en-US" w:eastAsia="zh-CN"/>
              </w:rPr>
              <w:t xml:space="preserve">同系列同层级所有职称  </w:t>
            </w:r>
            <w:r>
              <w:rPr>
                <w:rFonts w:hint="eastAsia"/>
                <w:spacing w:val="-4"/>
                <w:lang w:val="en-US" w:eastAsia="zh-CN"/>
              </w:rPr>
              <w:sym w:font="Wingdings 2" w:char="00A3"/>
            </w:r>
            <w:r>
              <w:rPr>
                <w:rFonts w:hint="eastAsia"/>
                <w:spacing w:val="-4"/>
                <w:lang w:val="en-US" w:eastAsia="zh-CN"/>
              </w:rPr>
              <w:t>转岗证明</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highlight w:val="none"/>
                <w:lang w:val="en-US" w:eastAsia="zh-CN"/>
              </w:rPr>
            </w:pPr>
            <w:r>
              <w:rPr>
                <w:rFonts w:hint="eastAsia"/>
                <w:spacing w:val="-4"/>
                <w:highlight w:val="none"/>
                <w:lang w:val="en-US" w:eastAsia="zh-CN"/>
              </w:rPr>
              <w:t>三、符合破格申报的材料：</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highlight w:val="none"/>
                <w:lang w:val="en-US" w:eastAsia="zh-CN"/>
              </w:rPr>
            </w:pPr>
            <w:r>
              <w:rPr>
                <w:rFonts w:hint="eastAsia"/>
              </w:rPr>
              <w:sym w:font="Wingdings 2" w:char="00A3"/>
            </w:r>
            <w:r>
              <w:rPr>
                <w:rFonts w:hint="eastAsia"/>
                <w:spacing w:val="-4"/>
                <w:highlight w:val="none"/>
                <w:lang w:val="en-US" w:eastAsia="zh-CN"/>
              </w:rPr>
              <w:t>1.海外高层次引进人才：国外取得硕士及以上学位证书及教育部认证报告或国外高等院校、科研机构进修证明材料或由我国驻所在国的使(领)馆出具全球五百强企业的任职证明，工作能力、业绩成果材料的真实性由国内三位及以上同行专家进行专业鉴定（业绩材料国外取得、回国后首次申报职称）。</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highlight w:val="none"/>
                <w:lang w:val="en-US" w:eastAsia="zh-CN"/>
              </w:rPr>
            </w:pPr>
            <w:r>
              <w:rPr>
                <w:rFonts w:hint="eastAsia"/>
              </w:rPr>
              <w:sym w:font="Wingdings 2" w:char="00A3"/>
            </w:r>
            <w:r>
              <w:rPr>
                <w:rFonts w:hint="eastAsia"/>
                <w:spacing w:val="-4"/>
                <w:highlight w:val="none"/>
                <w:lang w:val="en-US" w:eastAsia="zh-CN"/>
              </w:rPr>
              <w:t>2.在深工作的港澳台专业人才：执行《关于推进粤港澳大湾区职称评价和职业资格认可的实施方案》(粤人社规〔2019〕38 号）有关规定。</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pPr>
            <w:r>
              <w:rPr>
                <w:rFonts w:hint="eastAsia"/>
              </w:rPr>
              <w:sym w:font="Wingdings 2" w:char="00A3"/>
            </w:r>
            <w:bookmarkStart w:id="0" w:name="_GoBack"/>
            <w:bookmarkEnd w:id="0"/>
            <w:r>
              <w:rPr>
                <w:rFonts w:hint="eastAsia"/>
                <w:spacing w:val="-4"/>
                <w:highlight w:val="none"/>
                <w:lang w:val="en-US" w:eastAsia="zh-CN"/>
              </w:rPr>
              <w:t>3.国际职业证书认可情况：根据《深圳市国际职业资格视同职称认可目录（2023年）》规定。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3"/>
                <w14:textOutline w14:w="4013" w14:cap="sq" w14:cmpd="sng">
                  <w14:solidFill>
                    <w14:srgbClr w14:val="000000"/>
                  </w14:solidFill>
                  <w14:prstDash w14:val="solid"/>
                  <w14:bevel/>
                </w14:textOutline>
              </w:rPr>
              <w:t>自评符合学历资历条件情况</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color w:val="FF0000"/>
                <w:spacing w:val="-4"/>
                <w:lang w:val="en-US" w:eastAsia="zh-CN"/>
              </w:rPr>
            </w:pPr>
            <w:r>
              <w:rPr>
                <w:rFonts w:hint="eastAsia"/>
                <w:color w:val="FF0000"/>
                <w:spacing w:val="-4"/>
                <w:lang w:val="en-US" w:eastAsia="zh-CN"/>
              </w:rPr>
              <w:t>条款号</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一、普通申报依据：（粤人社规【2019】60号）第三章三（一）</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二、转系列（专业）申报依据：（粤人发【2007】197号）及（粤人社规【2020】33号）有关规定执行</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三、破格申报依据查阅</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1.《深圳市职称评审申报指南》（2023年）</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2.《深圳市职称评审申报指南》之《深圳市国际职业资格视同职称认可目录》</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一、普通申报符合文件的材料：</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1.学历证书</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符合下列条件之一：</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1.具备博士学位。</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2.具备硕士学位或第二学士学位，取得助理工程师职称后，从事本专业技术工作满2年（已取得助理工程师职称）。</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3.具备大学本科学历或学士学位，取得助理工程师职称后，从事本专业技术工作满4年。（已取得助理工程师职称）</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4.具备大学专科学历，取得助理工程师职称后，从事本专业技术工作满4年。（已取得助理工程师职称）</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5.具备本专业或相关专业的工程类硕士专业学位，取得助理工程师职称后，从事本专业技术工作满1年。（已取得助理工程师职称）</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2.职称/职业证书</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职称证书</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职业证书</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3.国内职业资格证书（参照《深圳市职称评审申报指南》的附录2023年度职业资格与职称对应情况表）</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spacing w:val="-1"/>
              </w:rPr>
            </w:pPr>
            <w:r>
              <w:rPr>
                <w:rFonts w:hint="eastAsia"/>
                <w:spacing w:val="-4"/>
                <w:lang w:val="en-US" w:eastAsia="zh-CN"/>
              </w:rPr>
              <w:t>4.国际职业资格证书《深圳市国际职业资格视同职称认可目录》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4"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2"/>
                <w14:textOutline w14:w="4013" w14:cap="sq" w14:cmpd="sng">
                  <w14:solidFill>
                    <w14:srgbClr w14:val="000000"/>
                  </w14:solidFill>
                  <w14:prstDash w14:val="solid"/>
                  <w14:bevel/>
                </w14:textOutline>
              </w:rPr>
              <w:t>自评符合工作能力（经历）条件情况</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条款号</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依据：（粤人社规【2019】60号）第三章三（二）</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t>熟练掌握并能够灵活运用本专业基础理论知识和专业技术知识，熟悉本专业技术标准和规程，了解本专业新技术、新工艺、新设备、新材料的现状和发展趋势，取得有实用价值的技术成果；具有独立承担较复杂工程项目的工作能力，能解决本专业范围内较复杂的工程问题；具有一定的技术研究能力，能够撰写为解决复杂技术问题的研究成果或技术报告；具有指导助理工程师工作的能力。</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t>从事本专业技术工作期间，符合下列条件之一：</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1.市(厅)级(含集团级)攻关项目的本专业技术工作主要参加人。</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2.主持或主要参加过本专业重点技改项目1项以上。</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3.主持或主要参加过勘测、设计、建筑、安装、调试、监理、审查各类发供电工程2项以上，解决本专业技术问题，编写技术报告，工程质量达到标准，进度符合要求。</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主持或主要参加过中型以上水、火电厂的机、炉、电、水工、热工、化学、燃料、金属监督等其中之一的专业，或县级以上供电部门110千伏以上输、变电一、二次设备其中之一的本专业主要设备(或现场高压电气、化学试验)运行、检修管理4年以上，解决本专业运行、检修、试验中的较复杂技术问题，编写技术报告。运行管理做到安全经济运行，检修管理做到检修质量良好，进度符合要求。并且无发生重大运行、检修责任事故。</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5.从事电网建设和用电管理工作者：参与制订电网(包括配电网)发展、改造规划、工程设计或技术方案，在提高电网(包括配电网)安全可靠性和自动化水平方面取得良好的成绩；或参加过2项以上10千伏配电装置(包括用户供电系统)的工程设计、施工、调试，解决工程中的较复杂技术问题；或主要参加电气测量技术、电能质量管理、降低线损等技术工作，解决较复杂技术问题，取得良好经济效益。</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6.从事电网调度技术工作者：从事电网调度岗位工作4年以上，正确处理过电网事故，无发生重大责任事故；或参加过编制电网运行方式、调度规程，进行电网分析研究；或参加过3项以上安装调试、维护电力通信设施，解决较复杂技术问题，无因工作过失，造成通信中断影响电网调度；或参加过2项以上电厂或变电站继电保护、自动装置和调度自动化装置的安装、调试；或参加保护整定计算、保护方案审查，使电网安全经济运行。</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7.参加过2项以上中型以上发电厂环境保护初设、评估或审核；或参加过1台以上火电机组的环保装置安装、调试；或参加过治理1项以上发供电企业脱硫、消烟除尘、噪音、废水、废油处理或“三废”开发利用、环保监测分析等。在上述工作中，解决较复杂技术问题，工程达到预期效果。</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8.参加过设计、建设、调试、研制电力计算机应用工程1项以上，该项目通过省级主管部门组织的验收或鉴定。</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pPr>
            <w:r>
              <w:rPr>
                <w:rFonts w:hint="eastAsia"/>
                <w:spacing w:val="-4"/>
                <w:lang w:val="en-US" w:eastAsia="zh-CN"/>
              </w:rPr>
              <w:sym w:font="Wingdings 2" w:char="00A3"/>
            </w:r>
            <w:r>
              <w:rPr>
                <w:rFonts w:hint="eastAsia"/>
                <w:spacing w:val="-4"/>
                <w:lang w:val="en-US" w:eastAsia="zh-CN"/>
              </w:rPr>
              <w:t>9.在电力安全监察、技术培训、科技情报、科技管理等方面，参加制订2项以上具有指导作用的技术管理办法、技术管理制度，实施后对推动企业现代化管理、技术进步、安全生产取得较显著效果。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4"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3"/>
                <w14:textOutline w14:w="4013" w14:cap="sq" w14:cmpd="sng">
                  <w14:solidFill>
                    <w14:srgbClr w14:val="000000"/>
                  </w14:solidFill>
                  <w14:prstDash w14:val="solid"/>
                  <w14:bevel/>
                </w14:textOutline>
              </w:rPr>
              <w:t>自评符合业绩成果条件情况</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color w:val="FF0000"/>
                <w:spacing w:val="-4"/>
                <w:lang w:val="en-US" w:eastAsia="zh-CN"/>
              </w:rPr>
            </w:pPr>
            <w:r>
              <w:rPr>
                <w:rFonts w:hint="eastAsia"/>
                <w:color w:val="FF0000"/>
                <w:spacing w:val="-4"/>
                <w:lang w:val="en-US" w:eastAsia="zh-CN"/>
              </w:rPr>
              <w:t>条款号</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t>依据：（粤人社规【2019】60号）第三章三（三）</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t>从事本专业技术工作期间，符合下列条件之一：</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1.市(厅)级(含集团级)以上科技成果奖获奖项目主要完成人。</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2.完成2项以上有一定技术难度的技术项目(包括可行性研究、设计、施工、调试以及制定技术标准、技术规范、新技术推广等)，取得良好的社会和经济效益，获得上级主管部门或同行认可。</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3.完成1项以上引进、消化、吸收的新技术项目，在引进工作中解决较复杂的技术问题，并通过上级主管部门组织的验收或鉴定。</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4.生产运行管理达到上级要求的安全运行及经济指标，设备大修或改进工程取得提高设备健康水平、缩短工期及延长检修周期的效果。</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5.提出与本专业相关的科技建议，被市(厅)级(含集团级)有关部门采纳，对科技进步或专业技术发展有促进作用。</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6.参加市(厅)级(含集团级)以上单位组织开展的有关规程、技术规范等的编写工作。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7"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jc w:val="both"/>
              <w:textAlignment w:val="baseline"/>
            </w:pPr>
            <w:r>
              <w:rPr>
                <w:spacing w:val="-2"/>
                <w14:textOutline w14:w="4013" w14:cap="sq" w14:cmpd="sng">
                  <w14:solidFill>
                    <w14:srgbClr w14:val="000000"/>
                  </w14:solidFill>
                  <w14:prstDash w14:val="solid"/>
                  <w14:bevel/>
                </w14:textOutline>
              </w:rPr>
              <w:t>自评符合学术（代表性）成果条件情况</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color w:val="FF0000"/>
                <w:spacing w:val="-4"/>
                <w:lang w:val="en-US" w:eastAsia="zh-CN"/>
              </w:rPr>
            </w:pPr>
            <w:r>
              <w:rPr>
                <w:rFonts w:hint="eastAsia"/>
                <w:color w:val="FF0000"/>
                <w:spacing w:val="-4"/>
                <w:lang w:val="en-US" w:eastAsia="zh-CN"/>
              </w:rPr>
              <w:t>条款号</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依据：（粤人社规【2019】60号）第三章</w:t>
            </w:r>
            <w:r>
              <w:rPr>
                <w:rFonts w:hint="eastAsia"/>
                <w:spacing w:val="-4"/>
                <w:lang w:val="en-US" w:eastAsia="zh-CN"/>
              </w:rPr>
              <w:t>三</w:t>
            </w:r>
            <w:r>
              <w:rPr>
                <w:rFonts w:hint="eastAsia"/>
                <w:color w:val="000000" w:themeColor="text1"/>
                <w:spacing w:val="-4"/>
                <w:lang w:val="en-US" w:eastAsia="zh-CN"/>
                <w14:textFill>
                  <w14:solidFill>
                    <w14:schemeClr w14:val="tx1"/>
                  </w14:solidFill>
                </w14:textFill>
              </w:rPr>
              <w:t>（四）</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从事本专业技术工作期间，符合下列条件之一：</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1.在公开发行的本专业或相近专业刊物上发表本专业相关论文1篇(独撰或第一作者)。</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2.独立撰写本专业相关技术报告或研究成果2篇，具有一定的学术水平或实用性，且其中1篇以上报告或成果有同行2名高级工程师联合书面推荐。</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color w:val="FF0000"/>
                <w:spacing w:val="-3"/>
              </w:rPr>
            </w:pPr>
            <w:r>
              <w:rPr>
                <w:rFonts w:hint="eastAsia"/>
                <w:spacing w:val="-4"/>
                <w:lang w:val="en-US" w:eastAsia="zh-CN"/>
              </w:rPr>
              <w:sym w:font="Wingdings 2" w:char="00A3"/>
            </w:r>
            <w:r>
              <w:rPr>
                <w:rFonts w:hint="eastAsia"/>
                <w:spacing w:val="-4"/>
                <w:lang w:val="en-US" w:eastAsia="zh-CN"/>
              </w:rPr>
              <w:t>3.作为主要撰写人，参与编写或修订公开出版发行的本专业相关技术规范、规程、标准或教材、技术手册。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8" w:hRule="atLeast"/>
        </w:trPr>
        <w:tc>
          <w:tcPr>
            <w:tcW w:w="15618"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15" w:right="44" w:firstLine="29"/>
              <w:jc w:val="both"/>
              <w:textAlignment w:val="baseline"/>
              <w:rPr>
                <w:rFonts w:hint="eastAsia" w:ascii="Arial" w:eastAsia="宋体"/>
                <w:sz w:val="21"/>
                <w:lang w:eastAsia="zh-CN"/>
              </w:rPr>
            </w:pPr>
            <w:r>
              <w:t>申报人承诺：本人已充分了解广东省深圳市 2023</w:t>
            </w:r>
            <w:r>
              <w:rPr>
                <w:spacing w:val="-45"/>
              </w:rPr>
              <w:t xml:space="preserve"> </w:t>
            </w:r>
            <w:r>
              <w:t>年度职称评审的申报要求，确保所有申报材料、申报</w:t>
            </w:r>
            <w:r>
              <w:rPr>
                <w:spacing w:val="-1"/>
              </w:rPr>
              <w:t>信息真实、完整，申报资质有效。本人对全部申报材料、</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rPr>
                <w:spacing w:val="-2"/>
              </w:rPr>
              <w:t>称评审管理暂行规定》(人社部令第</w:t>
            </w:r>
            <w:r>
              <w:rPr>
                <w:spacing w:val="-47"/>
              </w:rPr>
              <w:t xml:space="preserve"> </w:t>
            </w:r>
            <w:r>
              <w:rPr>
                <w:spacing w:val="-2"/>
              </w:rPr>
              <w:t>40</w:t>
            </w:r>
            <w:r>
              <w:rPr>
                <w:spacing w:val="-43"/>
              </w:rPr>
              <w:t xml:space="preserve"> </w:t>
            </w:r>
            <w:r>
              <w:rPr>
                <w:spacing w:val="-2"/>
              </w:rPr>
              <w:t>号)及相关法律、法规和政</w:t>
            </w:r>
            <w:r>
              <w:rPr>
                <w:spacing w:val="-3"/>
              </w:rPr>
              <w:t>策规定，如有提供虚假材料剽窃他人作品和学术成果或者通过其他不正当手段申报职称的行为，</w:t>
            </w:r>
            <w:r>
              <w:t>愿意承担相关的行政、经济和法律责任。以</w:t>
            </w:r>
            <w:r>
              <w:rPr>
                <w:spacing w:val="-1"/>
              </w:rPr>
              <w:t>上内容，郑重承诺</w:t>
            </w:r>
            <w:r>
              <w:rPr>
                <w:rFonts w:hint="eastAsia"/>
                <w:spacing w:val="-1"/>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spacing w:val="-10"/>
                <w:sz w:val="22"/>
                <w:szCs w:val="22"/>
              </w:rPr>
            </w:pPr>
          </w:p>
          <w:p>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pPr>
            <w:r>
              <w:rPr>
                <w:spacing w:val="-10"/>
                <w:sz w:val="22"/>
                <w:szCs w:val="22"/>
              </w:rPr>
              <w:t>申报人（签名</w:t>
            </w:r>
            <w:r>
              <w:rPr>
                <w:spacing w:val="4"/>
                <w:sz w:val="22"/>
                <w:szCs w:val="22"/>
              </w:rPr>
              <w:t>）：</w:t>
            </w:r>
            <w:r>
              <w:rPr>
                <w:spacing w:val="1"/>
                <w:sz w:val="22"/>
                <w:szCs w:val="22"/>
              </w:rPr>
              <w:t xml:space="preserve">                                            </w:t>
            </w:r>
            <w:r>
              <w:rPr>
                <w:spacing w:val="-10"/>
                <w:sz w:val="22"/>
                <w:szCs w:val="22"/>
              </w:rPr>
              <w:t>日期：</w:t>
            </w:r>
          </w:p>
        </w:tc>
      </w:tr>
    </w:tbl>
    <w:p>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符合条件的条款：请参考《广东省电力工程技术人才职称评价标准条件》(</w:t>
      </w:r>
      <w:r>
        <w:rPr>
          <w:rFonts w:hint="eastAsia" w:ascii="宋体" w:hAnsi="宋体" w:eastAsia="宋体" w:cs="宋体"/>
          <w:sz w:val="21"/>
          <w:szCs w:val="18"/>
          <w:lang w:eastAsia="zh-CN"/>
        </w:rPr>
        <w:t>粤</w:t>
      </w:r>
      <w:r>
        <w:rPr>
          <w:rFonts w:hint="eastAsia" w:ascii="宋体" w:hAnsi="宋体" w:eastAsia="宋体" w:cs="宋体"/>
          <w:sz w:val="21"/>
          <w:szCs w:val="18"/>
        </w:rPr>
        <w:t>人社规(2019)</w:t>
      </w:r>
      <w:r>
        <w:rPr>
          <w:rFonts w:hint="eastAsia" w:ascii="宋体" w:hAnsi="宋体" w:eastAsia="宋体" w:cs="宋体"/>
          <w:sz w:val="21"/>
          <w:szCs w:val="18"/>
          <w:lang w:val="en-US" w:eastAsia="zh-CN"/>
        </w:rPr>
        <w:t>60</w:t>
      </w:r>
      <w:r>
        <w:rPr>
          <w:rFonts w:hint="eastAsia" w:ascii="宋体" w:hAnsi="宋体" w:eastAsia="宋体" w:cs="宋体"/>
          <w:sz w:val="21"/>
          <w:szCs w:val="18"/>
        </w:rPr>
        <w:t>号)。</w:t>
      </w:r>
    </w:p>
    <w:p>
      <w:pPr>
        <w:jc w:val="right"/>
        <w:rPr>
          <w:rFonts w:hint="eastAsia" w:ascii="Arial" w:eastAsia="宋体"/>
          <w:sz w:val="21"/>
          <w:lang w:eastAsia="zh-CN"/>
        </w:rPr>
      </w:pPr>
    </w:p>
    <w:sectPr>
      <w:pgSz w:w="16839" w:h="23812"/>
      <w:pgMar w:top="720" w:right="607" w:bottom="0" w:left="6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6106"/>
    <w:multiLevelType w:val="singleLevel"/>
    <w:tmpl w:val="025E6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RkZDk1NDFhZjU0NDE3ZWYzOWM1YTMxZWUyZWI5YzIifQ=="/>
  </w:docVars>
  <w:rsids>
    <w:rsidRoot w:val="00000000"/>
    <w:rsid w:val="00304700"/>
    <w:rsid w:val="0AA53F8F"/>
    <w:rsid w:val="0B02141F"/>
    <w:rsid w:val="13230FEF"/>
    <w:rsid w:val="171A2D27"/>
    <w:rsid w:val="17377504"/>
    <w:rsid w:val="18143770"/>
    <w:rsid w:val="22186D46"/>
    <w:rsid w:val="27704A89"/>
    <w:rsid w:val="28973E74"/>
    <w:rsid w:val="29257B04"/>
    <w:rsid w:val="2F467199"/>
    <w:rsid w:val="32356620"/>
    <w:rsid w:val="3745693D"/>
    <w:rsid w:val="393A1E03"/>
    <w:rsid w:val="43817642"/>
    <w:rsid w:val="43AD0950"/>
    <w:rsid w:val="474C42FD"/>
    <w:rsid w:val="4C783BCA"/>
    <w:rsid w:val="59B7123E"/>
    <w:rsid w:val="60DB1C73"/>
    <w:rsid w:val="62D93C37"/>
    <w:rsid w:val="686139AD"/>
    <w:rsid w:val="6C6E7F13"/>
    <w:rsid w:val="6E5A0C83"/>
    <w:rsid w:val="7EE234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widowControl w:val="0"/>
      <w:ind w:firstLine="420" w:firstLineChars="200"/>
    </w:pPr>
    <w:rPr>
      <w:sz w:val="24"/>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2"/>
      <w:szCs w:val="22"/>
      <w:lang w:val="en-US" w:eastAsia="en-US" w:bidi="ar-SA"/>
    </w:rPr>
  </w:style>
  <w:style w:type="character" w:customStyle="1" w:styleId="8">
    <w:name w:val="font41"/>
    <w:basedOn w:val="5"/>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2024-01-03T10:52:00Z</dcterms:created>
  <dc:creator>马妙欣</dc:creator>
  <cp:lastModifiedBy>Xiao°</cp:lastModifiedBy>
  <dcterms:modified xsi:type="dcterms:W3CDTF">2024-01-09T06:39:01Z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2024-01-03T14:11:14Z</vt:filetime>
  </property>
  <property fmtid="{D5CDD505-2E9C-101B-9397-08002B2CF9AE}" pid="4" name="KSOProductBuildVer">
    <vt:lpwstr>2052-12.1.0.16120</vt:lpwstr>
  </property>
  <property fmtid="{D5CDD505-2E9C-101B-9397-08002B2CF9AE}" pid="5" name="ICV">
    <vt:lpwstr>13F5DFB4F4764AB2BC7D5BDFE2E01B1A_13</vt:lpwstr>
  </property>
</Properties>
</file>