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深圳市建筑施工专业高级工程师（副高级）-自评符合申报职称资格条件情况审核</w:t>
      </w:r>
      <w:r>
        <w:rPr>
          <w:rFonts w:ascii="微软雅黑" w:hAnsi="微软雅黑" w:eastAsia="微软雅黑" w:cs="微软雅黑"/>
          <w:spacing w:val="-4"/>
          <w:sz w:val="40"/>
          <w:szCs w:val="40"/>
        </w:rPr>
        <w:t>表</w:t>
      </w:r>
    </w:p>
    <w:p>
      <w:pPr>
        <w:spacing w:before="1" w:line="220" w:lineRule="auto"/>
        <w:ind w:left="121"/>
        <w:rPr>
          <w:rFonts w:hint="eastAsia" w:ascii="宋体" w:hAnsi="宋体" w:eastAsia="宋体" w:cs="宋体"/>
          <w:sz w:val="22"/>
          <w:szCs w:val="22"/>
          <w:lang w:val="en-US"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建筑施工</w:t>
      </w:r>
    </w:p>
    <w:p>
      <w:pPr>
        <w:spacing w:line="25" w:lineRule="auto"/>
        <w:rPr>
          <w:rFonts w:ascii="Arial"/>
          <w:sz w:val="2"/>
        </w:rPr>
      </w:pPr>
    </w:p>
    <w:tbl>
      <w:tblPr>
        <w:tblStyle w:val="5"/>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pPr>
              <w:pStyle w:val="6"/>
              <w:spacing w:before="125" w:line="221" w:lineRule="auto"/>
              <w:ind w:left="116"/>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spacing w:val="-1"/>
              </w:rPr>
              <w:t xml:space="preserve">  </w:t>
            </w:r>
            <w:r>
              <w:rPr>
                <w:color w:val="FF0000"/>
                <w:spacing w:val="-1"/>
                <w14:textOutline w14:w="4013" w14:cap="sq" w14:cmpd="sng">
                  <w14:solidFill>
                    <w14:srgbClr w14:val="FF0000"/>
                  </w14:solidFill>
                  <w14:prstDash w14:val="solid"/>
                  <w14:bevel/>
                </w14:textOutline>
              </w:rPr>
              <w:t>（请用正楷填写）</w:t>
            </w:r>
          </w:p>
          <w:p>
            <w:pPr>
              <w:pStyle w:val="6"/>
              <w:spacing w:before="125" w:line="221" w:lineRule="auto"/>
              <w:ind w:left="116"/>
              <w:rPr>
                <w:color w:val="FF0000"/>
                <w:spacing w:val="-1"/>
                <w14:textOutline w14:w="4013" w14:cap="sq" w14:cmpd="sng">
                  <w14:solidFill>
                    <w14:srgbClr w14:val="FF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pPr>
              <w:pStyle w:val="6"/>
              <w:spacing w:before="111" w:line="222" w:lineRule="auto"/>
              <w:ind w:left="118"/>
              <w:rPr>
                <w:color w:val="FF0000"/>
                <w:spacing w:val="-1"/>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spacing w:val="-1"/>
              </w:rPr>
              <w:t xml:space="preserve">  </w:t>
            </w:r>
            <w:r>
              <w:rPr>
                <w:color w:val="FF0000"/>
                <w:spacing w:val="-1"/>
                <w14:textOutline w14:w="4013" w14:cap="sq" w14:cmpd="sng">
                  <w14:solidFill>
                    <w14:srgbClr w14:val="FF0000"/>
                  </w14:solidFill>
                  <w14:prstDash w14:val="solid"/>
                  <w14:bevel/>
                </w14:textOutline>
              </w:rPr>
              <w:t>（请用正楷填写）</w:t>
            </w:r>
          </w:p>
          <w:p>
            <w:pPr>
              <w:pStyle w:val="6"/>
              <w:spacing w:before="111" w:line="222" w:lineRule="auto"/>
              <w:ind w:left="118"/>
              <w:rPr>
                <w:color w:val="FF0000"/>
                <w:spacing w:val="-1"/>
                <w14:textOutline w14:w="4013" w14:cap="sq" w14:cmpd="sng">
                  <w14:solidFill>
                    <w14:srgbClr w14:val="FF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pPr>
              <w:pStyle w:val="6"/>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pPr>
              <w:pStyle w:val="6"/>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pPr>
              <w:pStyle w:val="6"/>
              <w:spacing w:before="161" w:line="221" w:lineRule="auto"/>
              <w:ind w:left="157"/>
            </w:pPr>
            <w:r>
              <w:rPr>
                <w:rFonts w:hint="eastAsia" w:ascii="宋体" w:hAnsi="宋体" w:eastAsia="宋体" w:cs="宋体"/>
                <w:spacing w:val="-7"/>
              </w:rPr>
              <w:sym w:font="Wingdings" w:char="00A8"/>
            </w:r>
            <w:r>
              <w:rPr>
                <w:spacing w:val="-14"/>
              </w:rPr>
              <w:t>普通</w:t>
            </w:r>
            <w:r>
              <w:rPr>
                <w:spacing w:val="24"/>
              </w:rPr>
              <w:t xml:space="preserve"> </w:t>
            </w:r>
            <w:r>
              <w:rPr>
                <w:rFonts w:hint="eastAsia"/>
                <w:spacing w:val="24"/>
                <w:lang w:val="en-US" w:eastAsia="zh-CN"/>
              </w:rPr>
              <w:t xml:space="preserve">   </w:t>
            </w:r>
            <w:r>
              <w:rPr>
                <w:rFonts w:hint="eastAsia" w:ascii="宋体" w:hAnsi="宋体" w:eastAsia="宋体" w:cs="宋体"/>
                <w:spacing w:val="-7"/>
              </w:rPr>
              <w:sym w:font="Wingdings" w:char="00A8"/>
            </w:r>
            <w:r>
              <w:rPr>
                <w:spacing w:val="-14"/>
              </w:rPr>
              <w:t>转系列</w:t>
            </w:r>
            <w:r>
              <w:rPr>
                <w:spacing w:val="25"/>
              </w:rPr>
              <w:t xml:space="preserve"> </w:t>
            </w:r>
            <w:r>
              <w:rPr>
                <w:rFonts w:hint="eastAsia"/>
                <w:spacing w:val="25"/>
                <w:lang w:val="en-US" w:eastAsia="zh-CN"/>
              </w:rPr>
              <w:t xml:space="preserve">  </w:t>
            </w:r>
            <w:r>
              <w:rPr>
                <w:rFonts w:hint="eastAsia" w:ascii="宋体" w:hAnsi="宋体" w:eastAsia="宋体" w:cs="宋体"/>
                <w:spacing w:val="-7"/>
              </w:rPr>
              <w:sym w:font="Wingdings" w:char="00A8"/>
            </w:r>
            <w:r>
              <w:rPr>
                <w:spacing w:val="-14"/>
              </w:rPr>
              <w:t>转专业</w:t>
            </w:r>
            <w:r>
              <w:rPr>
                <w:spacing w:val="24"/>
              </w:rPr>
              <w:t xml:space="preserve">  </w:t>
            </w:r>
            <w:r>
              <w:rPr>
                <w:rFonts w:hint="eastAsia"/>
                <w:spacing w:val="24"/>
                <w:lang w:val="en-US" w:eastAsia="zh-CN"/>
              </w:rPr>
              <w:t xml:space="preserve">  </w:t>
            </w:r>
            <w:r>
              <w:rPr>
                <w:rFonts w:hint="eastAsia" w:ascii="宋体" w:hAnsi="宋体" w:eastAsia="宋体" w:cs="宋体"/>
                <w:spacing w:val="-7"/>
              </w:rPr>
              <w:sym w:font="Wingdings" w:char="00A8"/>
            </w:r>
            <w:r>
              <w:rPr>
                <w:spacing w:val="-14"/>
              </w:rPr>
              <w:t>破格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trPr>
        <w:tc>
          <w:tcPr>
            <w:tcW w:w="15610" w:type="dxa"/>
            <w:vAlign w:val="top"/>
          </w:tcPr>
          <w:p>
            <w:pPr>
              <w:pStyle w:val="6"/>
              <w:spacing w:before="160" w:line="220" w:lineRule="auto"/>
              <w:ind w:left="115"/>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r>
              <w:rPr>
                <w:color w:val="FF0000"/>
                <w:spacing w:val="-46"/>
              </w:rPr>
              <w:t xml:space="preserve"> </w:t>
            </w:r>
            <w:r>
              <w:rPr>
                <w:color w:val="FF0000"/>
                <w:spacing w:val="-2"/>
              </w:rPr>
              <w:t>√</w:t>
            </w:r>
            <w:r>
              <w:rPr>
                <w:color w:val="FF0000"/>
                <w:spacing w:val="-83"/>
              </w:rPr>
              <w:t xml:space="preserve"> </w:t>
            </w:r>
            <w:r>
              <w:rPr>
                <w:color w:val="FF0000"/>
                <w:spacing w:val="-2"/>
              </w:rPr>
              <w:t>”)</w:t>
            </w:r>
          </w:p>
          <w:p>
            <w:pPr>
              <w:pStyle w:val="6"/>
              <w:spacing w:before="277" w:line="220" w:lineRule="auto"/>
              <w:ind w:left="119"/>
            </w:pPr>
            <w:r>
              <w:rPr>
                <w:spacing w:val="-2"/>
              </w:rPr>
              <w:t>一、符合转系列申报的材料：</w:t>
            </w:r>
            <w:r>
              <w:rPr>
                <w:spacing w:val="-54"/>
              </w:rPr>
              <w:t xml:space="preserve"> </w:t>
            </w:r>
            <w:r>
              <w:rPr>
                <w:rFonts w:hint="eastAsia" w:ascii="宋体" w:hAnsi="宋体" w:eastAsia="宋体" w:cs="宋体"/>
                <w:spacing w:val="-7"/>
              </w:rPr>
              <w:sym w:font="Wingdings" w:char="00A8"/>
            </w:r>
            <w:r>
              <w:rPr>
                <w:spacing w:val="-2"/>
              </w:rPr>
              <w:t xml:space="preserve">原系列同层级职称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原系列低一层级职称</w:t>
            </w:r>
          </w:p>
          <w:p>
            <w:pPr>
              <w:pStyle w:val="6"/>
              <w:spacing w:before="277" w:line="220" w:lineRule="auto"/>
              <w:ind w:left="119"/>
            </w:pPr>
            <w:r>
              <w:rPr>
                <w:spacing w:val="-2"/>
              </w:rPr>
              <w:t>二、符合转专业申报的材料：</w:t>
            </w:r>
            <w:r>
              <w:rPr>
                <w:spacing w:val="-59"/>
              </w:rPr>
              <w:t xml:space="preserve"> </w:t>
            </w:r>
            <w:r>
              <w:rPr>
                <w:rFonts w:hint="eastAsia" w:ascii="宋体" w:hAnsi="宋体" w:eastAsia="宋体" w:cs="宋体"/>
                <w:spacing w:val="-7"/>
              </w:rPr>
              <w:sym w:font="Wingdings" w:char="00A8"/>
            </w:r>
            <w:r>
              <w:rPr>
                <w:spacing w:val="-2"/>
              </w:rPr>
              <w:t xml:space="preserve">同系列同层级所有职称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转岗</w:t>
            </w:r>
            <w:r>
              <w:rPr>
                <w:spacing w:val="-3"/>
              </w:rPr>
              <w:t>证明</w:t>
            </w:r>
          </w:p>
          <w:p>
            <w:pPr>
              <w:pStyle w:val="6"/>
              <w:spacing w:before="165" w:line="360" w:lineRule="auto"/>
              <w:ind w:left="116"/>
            </w:pPr>
            <w:r>
              <w:rPr>
                <w:spacing w:val="-1"/>
              </w:rPr>
              <w:t>三、符合破格申报的材料：</w:t>
            </w:r>
          </w:p>
          <w:p>
            <w:pPr>
              <w:pStyle w:val="6"/>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w:t>
            </w:r>
            <w:r>
              <w:rPr>
                <w:rFonts w:hint="eastAsia" w:ascii="宋体" w:hAnsi="宋体" w:eastAsia="宋体" w:cs="宋体"/>
                <w:spacing w:val="-7"/>
              </w:rPr>
              <w:t>普通破格：</w:t>
            </w:r>
            <w:r>
              <w:rPr>
                <w:rFonts w:hint="eastAsia" w:ascii="宋体" w:hAnsi="宋体" w:eastAsia="宋体" w:cs="宋体"/>
                <w:spacing w:val="-7"/>
                <w:lang w:val="en-US" w:eastAsia="zh-CN"/>
              </w:rPr>
              <w:t>执行粤</w:t>
            </w:r>
            <w:r>
              <w:rPr>
                <w:rFonts w:hint="eastAsia" w:ascii="宋体" w:hAnsi="宋体" w:eastAsia="宋体" w:cs="宋体"/>
                <w:spacing w:val="-7"/>
              </w:rPr>
              <w:t>人社规【20</w:t>
            </w:r>
            <w:r>
              <w:rPr>
                <w:rFonts w:hint="eastAsia" w:cs="宋体"/>
                <w:spacing w:val="-7"/>
                <w:lang w:val="en-US" w:eastAsia="zh-CN"/>
              </w:rPr>
              <w:t>19</w:t>
            </w:r>
            <w:r>
              <w:rPr>
                <w:rFonts w:hint="eastAsia" w:ascii="宋体" w:hAnsi="宋体" w:eastAsia="宋体" w:cs="宋体"/>
                <w:spacing w:val="-7"/>
              </w:rPr>
              <w:t>】3</w:t>
            </w:r>
            <w:r>
              <w:rPr>
                <w:rFonts w:hint="eastAsia" w:cs="宋体"/>
                <w:spacing w:val="-7"/>
                <w:lang w:val="en-US" w:eastAsia="zh-CN"/>
              </w:rPr>
              <w:t>3</w:t>
            </w:r>
            <w:r>
              <w:rPr>
                <w:rFonts w:hint="eastAsia" w:ascii="宋体" w:hAnsi="宋体" w:eastAsia="宋体" w:cs="宋体"/>
                <w:spacing w:val="-7"/>
              </w:rPr>
              <w:t>号</w:t>
            </w:r>
            <w:r>
              <w:rPr>
                <w:rFonts w:hint="eastAsia" w:ascii="宋体" w:hAnsi="宋体" w:eastAsia="宋体" w:cs="宋体"/>
                <w:spacing w:val="-7"/>
                <w:lang w:val="en-US" w:eastAsia="zh-CN"/>
              </w:rPr>
              <w:t>文件中的</w:t>
            </w:r>
            <w:r>
              <w:rPr>
                <w:rFonts w:hint="eastAsia" w:cs="宋体"/>
                <w:spacing w:val="-7"/>
                <w:lang w:val="en-US" w:eastAsia="zh-CN"/>
              </w:rPr>
              <w:t>评审绿色通道条件</w:t>
            </w:r>
            <w:r>
              <w:rPr>
                <w:rFonts w:hint="eastAsia" w:cs="宋体"/>
                <w:spacing w:val="-7"/>
                <w:lang w:eastAsia="zh-CN"/>
              </w:rPr>
              <w:t>。</w:t>
            </w:r>
          </w:p>
          <w:p>
            <w:pPr>
              <w:pStyle w:val="6"/>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cs="宋体"/>
                <w:spacing w:val="-7"/>
                <w:lang w:eastAsia="zh-CN"/>
              </w:rPr>
              <w:t>（</w:t>
            </w:r>
            <w:r>
              <w:rPr>
                <w:rFonts w:hint="eastAsia" w:cs="宋体"/>
                <w:spacing w:val="-7"/>
                <w:lang w:val="en-US" w:eastAsia="zh-CN"/>
              </w:rPr>
              <w:t>1</w:t>
            </w:r>
            <w:r>
              <w:rPr>
                <w:rFonts w:hint="eastAsia" w:cs="宋体"/>
                <w:spacing w:val="-7"/>
                <w:lang w:eastAsia="zh-CN"/>
              </w:rPr>
              <w:t>）不具备</w:t>
            </w:r>
            <w:r>
              <w:rPr>
                <w:rFonts w:hint="eastAsia" w:cs="宋体"/>
                <w:spacing w:val="-7"/>
                <w:lang w:val="en-US" w:eastAsia="zh-CN"/>
              </w:rPr>
              <w:t>申报高级工程师的</w:t>
            </w:r>
            <w:r>
              <w:rPr>
                <w:rFonts w:hint="eastAsia" w:cs="宋体"/>
                <w:spacing w:val="-7"/>
                <w:lang w:eastAsia="zh-CN"/>
              </w:rPr>
              <w:t>学历条件，取得工程师职称后，从事本专业技术工作满 10 年，可由 2 名本专业或相近专业正高级工程师推荐破格申报</w:t>
            </w:r>
            <w:r>
              <w:rPr>
                <w:rFonts w:hint="eastAsia" w:cs="宋体"/>
                <w:spacing w:val="-7"/>
                <w:lang w:val="en-US" w:eastAsia="zh-CN"/>
              </w:rPr>
              <w:t>,</w:t>
            </w:r>
            <w:r>
              <w:rPr>
                <w:rFonts w:hint="eastAsia" w:cs="宋体"/>
                <w:color w:val="FF0000"/>
                <w:spacing w:val="-7"/>
                <w:lang w:eastAsia="zh-CN"/>
              </w:rPr>
              <w:t>并提交破格推荐表（系统下载）、2名破格推荐人职称证书</w:t>
            </w:r>
            <w:r>
              <w:rPr>
                <w:rFonts w:hint="eastAsia" w:cs="宋体"/>
                <w:spacing w:val="-7"/>
                <w:lang w:eastAsia="zh-CN"/>
              </w:rPr>
              <w:t>。</w:t>
            </w:r>
          </w:p>
          <w:p>
            <w:pPr>
              <w:pStyle w:val="6"/>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cs="宋体"/>
                <w:spacing w:val="-7"/>
                <w:lang w:eastAsia="zh-CN"/>
              </w:rPr>
              <w:t>（</w:t>
            </w:r>
            <w:r>
              <w:rPr>
                <w:rFonts w:hint="eastAsia" w:cs="宋体"/>
                <w:spacing w:val="-7"/>
                <w:lang w:val="en-US" w:eastAsia="zh-CN"/>
              </w:rPr>
              <w:t>2</w:t>
            </w:r>
            <w:r>
              <w:rPr>
                <w:rFonts w:hint="eastAsia" w:cs="宋体"/>
                <w:spacing w:val="-7"/>
                <w:lang w:eastAsia="zh-CN"/>
              </w:rPr>
              <w:t>）取得工程师职称后，从事本专业技术工作满 3 年。</w:t>
            </w:r>
            <w:r>
              <w:rPr>
                <w:rFonts w:hint="eastAsia" w:cs="宋体"/>
                <w:b/>
                <w:bCs/>
                <w:spacing w:val="-7"/>
                <w:lang w:eastAsia="zh-CN"/>
              </w:rPr>
              <w:t>任现职期间，符合下列条件之一，可不受学历、资历、业绩成果等条件的限制直接破格申报：</w:t>
            </w:r>
          </w:p>
          <w:p>
            <w:pPr>
              <w:pStyle w:val="6"/>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cs="宋体"/>
                <w:spacing w:val="-7"/>
                <w:lang w:val="en-US" w:eastAsia="zh-CN"/>
              </w:rPr>
              <w:t>①</w:t>
            </w:r>
            <w:r>
              <w:rPr>
                <w:rFonts w:hint="eastAsia" w:cs="宋体"/>
                <w:spacing w:val="-7"/>
                <w:lang w:eastAsia="zh-CN"/>
              </w:rPr>
              <w:t>国家级科技成果奖二等奖以上获奖项目的主要完成人（专业排名前 3 名的）</w:t>
            </w:r>
          </w:p>
          <w:p>
            <w:pPr>
              <w:pStyle w:val="6"/>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cs="宋体"/>
                <w:spacing w:val="-7"/>
                <w:lang w:val="en-US" w:eastAsia="zh-CN"/>
              </w:rPr>
              <w:t>②</w:t>
            </w:r>
            <w:r>
              <w:rPr>
                <w:rFonts w:hint="eastAsia" w:cs="宋体"/>
                <w:spacing w:val="-7"/>
                <w:lang w:eastAsia="zh-CN"/>
              </w:rPr>
              <w:t>省(部)级科技成果奖一等奖获奖项目的主要完成人（专业排名前 3 名的）</w:t>
            </w:r>
          </w:p>
          <w:p>
            <w:pPr>
              <w:pStyle w:val="6"/>
              <w:spacing w:before="50" w:line="360" w:lineRule="auto"/>
              <w:ind w:firstLine="412" w:firstLineChars="200"/>
              <w:rPr>
                <w:rFonts w:hint="eastAsia" w:cs="宋体"/>
                <w:spacing w:val="-7"/>
                <w:lang w:eastAsia="zh-CN"/>
              </w:rPr>
            </w:pPr>
            <w:r>
              <w:rPr>
                <w:rFonts w:hint="eastAsia" w:ascii="宋体" w:hAnsi="宋体" w:eastAsia="宋体" w:cs="宋体"/>
                <w:spacing w:val="-7"/>
              </w:rPr>
              <w:sym w:font="Wingdings" w:char="00A8"/>
            </w:r>
            <w:r>
              <w:rPr>
                <w:rFonts w:hint="eastAsia" w:cs="宋体"/>
                <w:spacing w:val="-7"/>
                <w:lang w:val="en-US" w:eastAsia="zh-CN"/>
              </w:rPr>
              <w:t>③</w:t>
            </w:r>
            <w:r>
              <w:rPr>
                <w:rFonts w:hint="eastAsia" w:cs="宋体"/>
                <w:spacing w:val="-7"/>
                <w:lang w:eastAsia="zh-CN"/>
              </w:rPr>
              <w:t>荣获中国专利优秀奖、广东专利金奖的主要完成人（专业排名前 3 名的）</w:t>
            </w:r>
          </w:p>
          <w:p>
            <w:pPr>
              <w:pStyle w:val="6"/>
              <w:spacing w:before="50" w:line="360" w:lineRule="auto"/>
              <w:ind w:firstLine="412" w:firstLineChars="200"/>
              <w:rPr>
                <w:rFonts w:hint="eastAsia" w:cs="宋体"/>
                <w:spacing w:val="-7"/>
                <w:lang w:eastAsia="zh-CN"/>
              </w:rPr>
            </w:pPr>
            <w:bookmarkStart w:id="0" w:name="_GoBack"/>
            <w:bookmarkEnd w:id="0"/>
            <w:r>
              <w:rPr>
                <w:rFonts w:hint="eastAsia" w:ascii="宋体" w:hAnsi="宋体" w:eastAsia="宋体" w:cs="宋体"/>
                <w:spacing w:val="-7"/>
              </w:rPr>
              <w:sym w:font="Wingdings" w:char="00A8"/>
            </w:r>
            <w:r>
              <w:rPr>
                <w:rFonts w:hint="eastAsia" w:cs="宋体"/>
                <w:spacing w:val="-7"/>
                <w:lang w:val="en-US" w:eastAsia="zh-CN"/>
              </w:rPr>
              <w:t>④</w:t>
            </w:r>
            <w:r>
              <w:rPr>
                <w:rFonts w:hint="eastAsia" w:cs="宋体"/>
                <w:spacing w:val="-7"/>
                <w:lang w:eastAsia="zh-CN"/>
              </w:rPr>
              <w:t>被认定为“广东省传统建筑名匠”的技术人才</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2.海外高层次引进人才：国外取得硕士及以上学位证书及教育部认证报告或国外高等院校、科研机构进修证明材料或由我国驻所在国的使(领)馆出具全球五百强 企业的任职证明，工作能力、业绩成果材料的真实性由国内三位及以上同行专家进行专业鉴定。（业绩材料国外取得、回国后首次申报职称）</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 xml:space="preserve">3.在深工作的港澳台专业人才：执行《关于推进粤港澳大湾区职称评价和职业资格认可的实施方案》 (粤人社规〔2019〕38 号）有关规定。 </w:t>
            </w:r>
          </w:p>
          <w:p>
            <w:pPr>
              <w:pStyle w:val="6"/>
              <w:spacing w:before="50" w:line="360" w:lineRule="auto"/>
              <w:ind w:firstLine="412" w:firstLineChars="200"/>
            </w:pPr>
            <w:r>
              <w:rPr>
                <w:rFonts w:hint="eastAsia" w:ascii="宋体" w:hAnsi="宋体" w:eastAsia="宋体" w:cs="宋体"/>
                <w:spacing w:val="-7"/>
              </w:rPr>
              <w:sym w:font="Wingdings" w:char="00A8"/>
            </w:r>
            <w:r>
              <w:rPr>
                <w:rFonts w:hint="eastAsia" w:ascii="宋体" w:hAnsi="宋体" w:eastAsia="宋体" w:cs="宋体"/>
                <w:spacing w:val="-7"/>
              </w:rPr>
              <w:t>4.国际职业证书认可情况：根据《深圳市国际职业资格视同职称认可目录（2023 年）》规定。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5610" w:type="dxa"/>
            <w:vAlign w:val="top"/>
          </w:tcPr>
          <w:p>
            <w:pPr>
              <w:pStyle w:val="6"/>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pPr>
              <w:pStyle w:val="6"/>
              <w:spacing w:before="183" w:line="221" w:lineRule="auto"/>
              <w:ind w:left="118"/>
            </w:pPr>
            <w:r>
              <w:rPr>
                <w:color w:val="FF0000"/>
                <w:spacing w:val="-3"/>
              </w:rPr>
              <w:t>条款号</w:t>
            </w:r>
          </w:p>
          <w:p>
            <w:pPr>
              <w:pStyle w:val="6"/>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w:t>
            </w:r>
            <w:r>
              <w:rPr>
                <w:rFonts w:hint="eastAsia" w:cs="宋体"/>
                <w:color w:val="000000"/>
                <w:kern w:val="0"/>
                <w:sz w:val="22"/>
                <w:szCs w:val="22"/>
                <w:lang w:val="en-US" w:eastAsia="zh-CN" w:bidi="ar"/>
              </w:rPr>
              <w:t>19</w:t>
            </w:r>
            <w:r>
              <w:rPr>
                <w:rFonts w:hint="eastAsia" w:ascii="宋体" w:hAnsi="宋体" w:eastAsia="宋体" w:cs="宋体"/>
                <w:color w:val="000000"/>
                <w:kern w:val="0"/>
                <w:sz w:val="22"/>
                <w:szCs w:val="22"/>
                <w:lang w:val="en-US" w:eastAsia="zh-CN" w:bidi="ar"/>
              </w:rPr>
              <w:t>】3</w:t>
            </w:r>
            <w:r>
              <w:rPr>
                <w:rFonts w:hint="eastAsia"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号）第三章</w:t>
            </w:r>
            <w:r>
              <w:rPr>
                <w:rFonts w:hint="eastAsia" w:cs="宋体"/>
                <w:color w:val="000000"/>
                <w:kern w:val="0"/>
                <w:sz w:val="22"/>
                <w:szCs w:val="22"/>
                <w:lang w:val="en-US" w:eastAsia="zh-CN" w:bidi="ar"/>
              </w:rPr>
              <w:t>四</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pPr>
              <w:pStyle w:val="6"/>
              <w:spacing w:before="277" w:line="220" w:lineRule="auto"/>
              <w:ind w:left="119"/>
            </w:pPr>
            <w:r>
              <w:rPr>
                <w:spacing w:val="1"/>
              </w:rPr>
              <w:t>二、转系列（专业）申报依据</w:t>
            </w:r>
            <w:r>
              <w:rPr>
                <w:spacing w:val="-17"/>
              </w:rPr>
              <w:t>：（</w:t>
            </w:r>
            <w:r>
              <w:rPr>
                <w:spacing w:val="1"/>
              </w:rPr>
              <w:t>粤人发【200</w:t>
            </w:r>
            <w:r>
              <w:t>7】197 号）及（粤人社规【2020】33 号）</w:t>
            </w:r>
          </w:p>
          <w:p>
            <w:pPr>
              <w:pStyle w:val="6"/>
              <w:spacing w:before="237" w:line="220" w:lineRule="auto"/>
              <w:ind w:left="116"/>
            </w:pPr>
            <w:r>
              <w:rPr>
                <w:spacing w:val="-1"/>
              </w:rPr>
              <w:t>三、破格申报依据查阅</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1.《深圳市职称评审申报指南》（2023年）</w:t>
            </w:r>
          </w:p>
          <w:p>
            <w:pPr>
              <w:pStyle w:val="6"/>
              <w:spacing w:before="50" w:line="360" w:lineRule="auto"/>
              <w:ind w:firstLine="412" w:firstLineChars="200"/>
            </w:pPr>
            <w:r>
              <w:rPr>
                <w:rFonts w:hint="eastAsia" w:ascii="宋体" w:hAnsi="宋体" w:eastAsia="宋体" w:cs="宋体"/>
                <w:spacing w:val="-7"/>
              </w:rPr>
              <w:t>2.《深圳市职称评审申报指南》之《深圳市国际职业资格视同职称认可目录》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7" w:hRule="atLeast"/>
        </w:trPr>
        <w:tc>
          <w:tcPr>
            <w:tcW w:w="15610" w:type="dxa"/>
            <w:vAlign w:val="top"/>
          </w:tcPr>
          <w:p>
            <w:pPr>
              <w:pStyle w:val="6"/>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pPr>
              <w:pStyle w:val="6"/>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具备博士学位，从事本专业技术工作满2年，且近2年的年度考核或绩效考核均为称职（合格）以上</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具备硕士学位，或第二学士学位，或大学本科学历，或学士学位，取得工程师职称后，从事本专业技术工作满5年，且近5年的年度考核或绩效考核均为称职（合格）以上</w:t>
            </w:r>
          </w:p>
          <w:p>
            <w:pPr>
              <w:pStyle w:val="6"/>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具备本专业或相关专业的工程类博士专业学位，从事本专业技术工作满1年，且近1年的年度考核或绩效考核均称职（合格）以上</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   参照《深圳市职称评审申报指南》的附录二：国家专业技术人员职业资格与职称对应表（2023 年度）</w:t>
            </w:r>
          </w:p>
          <w:p>
            <w:pPr>
              <w:pStyle w:val="6"/>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 《深圳市国际职业资格视同职称认可目录》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pPr>
              <w:pStyle w:val="6"/>
              <w:spacing w:before="71" w:line="360" w:lineRule="auto"/>
              <w:ind w:left="152"/>
            </w:pPr>
            <w:r>
              <w:rPr>
                <w:spacing w:val="-2"/>
                <w14:textOutline w14:w="4013" w14:cap="sq" w14:cmpd="sng">
                  <w14:solidFill>
                    <w14:srgbClr w14:val="000000"/>
                  </w14:solidFill>
                  <w14:prstDash w14:val="solid"/>
                  <w14:bevel/>
                </w14:textOutline>
              </w:rPr>
              <w:t>自评符合工作</w:t>
            </w:r>
            <w:r>
              <w:rPr>
                <w:rFonts w:hint="eastAsia"/>
                <w:spacing w:val="-2"/>
                <w:lang w:val="en-US" w:eastAsia="zh-CN"/>
                <w14:textOutline w14:w="4013" w14:cap="sq" w14:cmpd="sng">
                  <w14:solidFill>
                    <w14:srgbClr w14:val="000000"/>
                  </w14:solidFill>
                  <w14:prstDash w14:val="solid"/>
                  <w14:bevel/>
                </w14:textOutline>
              </w:rPr>
              <w:t>经历</w:t>
            </w:r>
            <w:r>
              <w:rPr>
                <w:spacing w:val="-2"/>
                <w14:textOutline w14:w="4013" w14:cap="sq" w14:cmpd="sng">
                  <w14:solidFill>
                    <w14:srgbClr w14:val="000000"/>
                  </w14:solidFill>
                  <w14:prstDash w14:val="solid"/>
                  <w14:bevel/>
                </w14:textOutline>
              </w:rPr>
              <w:t>（</w:t>
            </w:r>
            <w:r>
              <w:rPr>
                <w:rFonts w:hint="eastAsia"/>
                <w:spacing w:val="-2"/>
                <w:lang w:val="en-US" w:eastAsia="zh-CN"/>
                <w14:textOutline w14:w="4013" w14:cap="sq" w14:cmpd="sng">
                  <w14:solidFill>
                    <w14:srgbClr w14:val="000000"/>
                  </w14:solidFill>
                  <w14:prstDash w14:val="solid"/>
                  <w14:bevel/>
                </w14:textOutline>
              </w:rPr>
              <w:t>能力</w:t>
            </w:r>
            <w:r>
              <w:rPr>
                <w:spacing w:val="-2"/>
                <w14:textOutline w14:w="4013" w14:cap="sq" w14:cmpd="sng">
                  <w14:solidFill>
                    <w14:srgbClr w14:val="000000"/>
                  </w14:solidFill>
                  <w14:prstDash w14:val="solid"/>
                  <w14:bevel/>
                </w14:textOutline>
              </w:rPr>
              <w:t>）条件情况</w:t>
            </w:r>
          </w:p>
          <w:p>
            <w:pPr>
              <w:pStyle w:val="6"/>
              <w:spacing w:before="48" w:line="360" w:lineRule="auto"/>
              <w:ind w:left="118"/>
            </w:pPr>
            <w:r>
              <w:rPr>
                <w:color w:val="FF0000"/>
                <w:spacing w:val="-3"/>
              </w:rPr>
              <w:t>条款号</w:t>
            </w:r>
          </w:p>
          <w:p>
            <w:pPr>
              <w:pStyle w:val="6"/>
              <w:spacing w:before="164" w:line="360" w:lineRule="auto"/>
              <w:ind w:left="118"/>
              <w:rPr>
                <w:rFonts w:hint="default" w:eastAsia="宋体"/>
                <w:lang w:val="en-US" w:eastAsia="zh-CN"/>
              </w:rPr>
            </w:pPr>
            <w:r>
              <w:t>依据</w:t>
            </w:r>
            <w:r>
              <w:rPr>
                <w:spacing w:val="-12"/>
              </w:rPr>
              <w:t>：</w:t>
            </w:r>
            <w:r>
              <w:rPr>
                <w:rFonts w:hint="eastAsia"/>
                <w:spacing w:val="-12"/>
              </w:rPr>
              <w:t>（粤人社规【2019】33号）第三章</w:t>
            </w:r>
            <w:r>
              <w:rPr>
                <w:rFonts w:hint="eastAsia"/>
                <w:spacing w:val="-12"/>
                <w:lang w:val="en-US" w:eastAsia="zh-CN"/>
              </w:rPr>
              <w:t>四</w:t>
            </w:r>
            <w:r>
              <w:t>（二）</w:t>
            </w:r>
            <w:r>
              <w:rPr>
                <w:rFonts w:hint="eastAsia"/>
                <w:lang w:val="en-US" w:eastAsia="zh-CN"/>
              </w:rPr>
              <w:t>工作经历条件</w:t>
            </w:r>
          </w:p>
          <w:p>
            <w:pPr>
              <w:pStyle w:val="6"/>
              <w:spacing w:before="277" w:line="360" w:lineRule="auto"/>
              <w:ind w:left="115"/>
              <w:rPr>
                <w:color w:val="FF0000"/>
                <w:spacing w:val="-4"/>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pPr>
              <w:keepNext w:val="0"/>
              <w:keepLines w:val="0"/>
              <w:widowControl/>
              <w:suppressLineNumbers w:val="0"/>
              <w:spacing w:line="360" w:lineRule="auto"/>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具备较为丰富的本专业技术工作实践经验,具有一定的创新能力、组织协调能力、获取及处理本专业信息的能力；能独立解决本专业较为复杂、疑难技术问题，具有主持并完成本专业科研课题、大型工程技术项目、中型以上技术改造项目、新产品开发（研发）项目、实验检验站（室）建设的能力；具有较强的技术经济分析、综合、判断和总结能力，以及培养专业技术人才和指导工程师工作的能力,在本专业领域的理论与实践上有一定的创见。</w:t>
            </w:r>
            <w:r>
              <w:rPr>
                <w:rFonts w:hint="eastAsia" w:asciiTheme="minorEastAsia" w:hAnsiTheme="minorEastAsia" w:eastAsiaTheme="minorEastAsia" w:cstheme="minorEastAsia"/>
                <w:b/>
                <w:bCs/>
                <w:color w:val="000000"/>
                <w:kern w:val="0"/>
                <w:sz w:val="22"/>
                <w:szCs w:val="22"/>
                <w:lang w:val="en-US" w:eastAsia="zh-CN" w:bidi="ar"/>
              </w:rPr>
              <w:t>任现职期间，符合下列条件之二项：</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1.作为本专业技术负责人，主持完成国家级、省（部）级或市（厅）级重大工程项目、技术攻关及改造项目或研究项目 1 项，或大型项目 2 项，解决了关键性的技术问题</w:t>
            </w:r>
            <w:r>
              <w:rPr>
                <w:rFonts w:hint="eastAsia" w:cs="宋体"/>
                <w:spacing w:val="-7"/>
                <w:lang w:val="en-US" w:eastAsia="zh-CN"/>
              </w:rPr>
              <w:t>；</w:t>
            </w:r>
            <w:r>
              <w:rPr>
                <w:rFonts w:hint="eastAsia" w:ascii="宋体" w:hAnsi="宋体" w:eastAsia="宋体" w:cs="宋体"/>
                <w:spacing w:val="-7"/>
                <w:lang w:val="en-US" w:eastAsia="zh-CN"/>
              </w:rPr>
              <w:t>或取得了显著技术成果或经济效益，单个项目技术转让交易额达到 30 万元或 3 年内多个项目技术转让交易额累计达到 50 万元的，可分别作为一项科研成果（技术转让合同以地级以上市科技部门登记为准）。经同行专家鉴定达到国内领先或国际先进水平的，同等条件下优先考虑。</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2.作为本专业技术负责人，主持完成重要科技成果转化及推广工作或新产品、新技术的研发及应用工作，解决了关键性的技术问题或较大疑难问题，取得显著效益。</w:t>
            </w:r>
          </w:p>
          <w:p>
            <w:pPr>
              <w:pStyle w:val="6"/>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3.在本专业领域有重要发明创造或重要技术革新，开创性地提出本专业新的研究课题或发展方向，并取得重要成果。</w:t>
            </w:r>
          </w:p>
          <w:p>
            <w:pPr>
              <w:pStyle w:val="6"/>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4.具有培养本专业技术人才和指导本专业工程师开展技术工作的能力，效果显著</w:t>
            </w:r>
            <w:r>
              <w:rPr>
                <w:rFonts w:hint="eastAsia" w:cs="宋体"/>
                <w:spacing w:val="-7"/>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pPr>
              <w:pStyle w:val="6"/>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pPr>
              <w:pStyle w:val="6"/>
              <w:spacing w:before="48" w:line="360" w:lineRule="auto"/>
              <w:ind w:left="118"/>
            </w:pPr>
            <w:r>
              <w:rPr>
                <w:color w:val="FF0000"/>
                <w:spacing w:val="-3"/>
              </w:rPr>
              <w:t>条款号</w:t>
            </w:r>
          </w:p>
          <w:p>
            <w:pPr>
              <w:pStyle w:val="6"/>
              <w:spacing w:before="49" w:line="360" w:lineRule="auto"/>
              <w:ind w:left="119"/>
              <w:rPr>
                <w:rFonts w:hint="default"/>
                <w:lang w:val="en-US"/>
              </w:rPr>
            </w:pPr>
            <w:r>
              <w:rPr>
                <w:position w:val="6"/>
              </w:rPr>
              <w:t>依据：</w:t>
            </w:r>
            <w:r>
              <w:rPr>
                <w:rFonts w:hint="eastAsia"/>
                <w:position w:val="6"/>
              </w:rPr>
              <w:t>（粤人社规【2019】33号）第三章四</w:t>
            </w:r>
            <w:r>
              <w:rPr>
                <w:rFonts w:hint="eastAsia"/>
                <w:position w:val="6"/>
                <w:lang w:val="en-US" w:eastAsia="zh-CN"/>
              </w:rPr>
              <w:t>（三）业绩成果条件</w:t>
            </w:r>
          </w:p>
          <w:p>
            <w:pPr>
              <w:pStyle w:val="6"/>
              <w:spacing w:before="165" w:line="360" w:lineRule="auto"/>
              <w:ind w:left="115"/>
              <w:rPr>
                <w:rFonts w:hint="eastAsia" w:asciiTheme="minorEastAsia" w:hAnsiTheme="minorEastAsia" w:eastAsiaTheme="minorEastAsia" w:cstheme="minorEastAsia"/>
                <w:b/>
                <w:bCs/>
                <w:snapToGrid w:val="0"/>
                <w:color w:val="000000"/>
                <w:kern w:val="0"/>
                <w:sz w:val="22"/>
                <w:szCs w:val="22"/>
                <w:lang w:val="en-US" w:eastAsia="zh-CN" w:bidi="ar"/>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pPr>
              <w:pStyle w:val="6"/>
              <w:spacing w:before="50" w:line="360" w:lineRule="auto"/>
              <w:ind w:firstLine="412" w:firstLineChars="200"/>
              <w:rPr>
                <w:rFonts w:hint="eastAsia" w:ascii="宋体" w:hAnsi="宋体" w:eastAsia="宋体" w:cs="宋体"/>
                <w:b/>
                <w:bCs/>
                <w:spacing w:val="-7"/>
                <w:lang w:val="en-US" w:eastAsia="zh-CN"/>
              </w:rPr>
            </w:pPr>
            <w:r>
              <w:rPr>
                <w:rFonts w:hint="eastAsia" w:ascii="宋体" w:hAnsi="宋体" w:eastAsia="宋体" w:cs="宋体"/>
                <w:b w:val="0"/>
                <w:bCs w:val="0"/>
                <w:spacing w:val="-7"/>
                <w:lang w:val="en-US" w:eastAsia="zh-CN"/>
              </w:rPr>
              <w:t>主持并承担本专业大型工程技术项目或具有较大价值的科技项目；或在引进消化、开发创新、推广应用本专业新理论、新方法、新技术、新工艺方面取得重大效益；或研发本专业新产品、建设工程技术中心、建设大中型实验检验站（室）、承担本专业工程技术项目工作中取得重大的专业技术工作业绩。编制过国家、省（部）级、市（厅）级的规范、标准、规程、工法。</w:t>
            </w:r>
            <w:r>
              <w:rPr>
                <w:rFonts w:hint="eastAsia" w:ascii="宋体" w:hAnsi="宋体" w:eastAsia="宋体" w:cs="宋体"/>
                <w:b/>
                <w:bCs/>
                <w:spacing w:val="-7"/>
                <w:lang w:val="en-US" w:eastAsia="zh-CN"/>
              </w:rPr>
              <w:t>任现职期间，符合下列条件之一：</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1.国家级科技成果奖获奖项目的完成人；或省(部)级科技成果一、二等奖获奖项目的完成人；或省（部）级科技成果三等奖获奖项目的主要完成人（专业排名前 3 名的）；或市（厅）级科技成果一等奖获奖项目各专业的第一完成人。</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2.国家级优秀设计(规划、勘察、检测、工程)奖获奖项目的完成人；或省（部）级优秀设计(规划、勘察、检测、工程)奖三等奖及以上获奖项目的完成人；或省（部）级行业学（协）会奖三等奖及以上获奖项目 2 项以上的主要完成人；或市（厅）级行业学（协）会奖二等奖（银奖）以上获奖项目 3 项的主要完成人（专业排名前 3 名的）。</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3.国家级、省（部）级优质工程项目奖（建设、施工、监理、质量监督、检测、造价、咨询等）获奖项目的完成人；或省（部）级行业学（协）会二等奖（银奖）项目的完成人,或三等奖（铜奖）项目 2 项的主要完成人，或市（厅）级二等奖（银奖）项目 3 项的主要完成人（专业排名前 3 名的）。</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4.承担科研项目或新产品开发，获得重要技术创新成果，取得有较大价值或显著效益的本专业或相近专业技术发明专利 1项，或实用新型专利 2 项（排名前 3 名的）。</w:t>
            </w:r>
          </w:p>
          <w:p>
            <w:pPr>
              <w:pStyle w:val="6"/>
              <w:spacing w:before="50" w:line="360" w:lineRule="auto"/>
              <w:ind w:firstLine="412" w:firstLineChars="200"/>
              <w:rPr>
                <w:rFonts w:hint="eastAsia" w:ascii="宋体" w:hAnsi="宋体" w:eastAsia="宋体" w:cs="宋体"/>
                <w:b w:val="0"/>
                <w:bCs w:val="0"/>
                <w:spacing w:val="-7"/>
                <w:lang w:val="en-US" w:eastAsia="zh-CN"/>
              </w:rPr>
            </w:pPr>
            <w:r>
              <w:rPr>
                <w:rFonts w:hint="eastAsia" w:ascii="宋体" w:hAnsi="宋体" w:eastAsia="宋体" w:cs="宋体"/>
                <w:spacing w:val="-7"/>
              </w:rPr>
              <w:sym w:font="Wingdings" w:char="00A8"/>
            </w:r>
            <w:r>
              <w:rPr>
                <w:rFonts w:hint="eastAsia" w:ascii="宋体" w:hAnsi="宋体" w:eastAsia="宋体" w:cs="宋体"/>
                <w:b w:val="0"/>
                <w:bCs w:val="0"/>
                <w:spacing w:val="-7"/>
                <w:lang w:val="en-US" w:eastAsia="zh-CN"/>
              </w:rPr>
              <w:t>5.参与制订本行业的国家级、省（部）级技术标准、规范、规程 1 项或市（厅）级技术标准、规范、规程 2 项，并经相关主管部门发布执行；或作为主要完成人，完成国家级或省（部）级工法 1 项（所有完成人），或市（厅）级工法 3 项（排名前 3 名的）。</w:t>
            </w:r>
          </w:p>
          <w:p>
            <w:pPr>
              <w:pStyle w:val="6"/>
              <w:spacing w:before="50" w:line="360" w:lineRule="auto"/>
              <w:ind w:firstLine="414" w:firstLineChars="200"/>
              <w:rPr>
                <w:rFonts w:hint="eastAsia" w:ascii="宋体" w:hAnsi="宋体" w:eastAsia="宋体" w:cs="宋体"/>
                <w:b w:val="0"/>
                <w:bCs w:val="0"/>
                <w:spacing w:val="-7"/>
                <w:lang w:val="en-US" w:eastAsia="zh-CN"/>
              </w:rPr>
            </w:pPr>
            <w:r>
              <w:rPr>
                <w:rFonts w:hint="eastAsia" w:ascii="宋体" w:hAnsi="宋体" w:eastAsia="宋体" w:cs="宋体"/>
                <w:b/>
                <w:bCs/>
                <w:spacing w:val="-7"/>
                <w:lang w:val="en-US" w:eastAsia="zh-CN"/>
              </w:rPr>
              <w:t>上述条件中涉及到排名的，均指本专业内排名，须提供相应证明，如图纸、验收报告、竣工验收表、评审报告或项目班子任命书等。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9" w:hRule="atLeast"/>
        </w:trPr>
        <w:tc>
          <w:tcPr>
            <w:tcW w:w="15610" w:type="dxa"/>
            <w:vAlign w:val="top"/>
          </w:tcPr>
          <w:p>
            <w:pPr>
              <w:pStyle w:val="6"/>
              <w:spacing w:before="71" w:line="221" w:lineRule="auto"/>
              <w:ind w:left="152"/>
            </w:pPr>
            <w:r>
              <w:rPr>
                <w:spacing w:val="-2"/>
                <w14:textOutline w14:w="4013" w14:cap="sq" w14:cmpd="sng">
                  <w14:solidFill>
                    <w14:srgbClr w14:val="000000"/>
                  </w14:solidFill>
                  <w14:prstDash w14:val="solid"/>
                  <w14:bevel/>
                </w14:textOutline>
              </w:rPr>
              <w:t>自评符合学术（代表性）成果条件情况</w:t>
            </w:r>
          </w:p>
          <w:p>
            <w:pPr>
              <w:pStyle w:val="6"/>
              <w:spacing w:before="142" w:line="216" w:lineRule="auto"/>
              <w:ind w:left="118"/>
              <w:rPr>
                <w:color w:val="FF0000"/>
                <w:spacing w:val="-3"/>
              </w:rPr>
            </w:pPr>
            <w:r>
              <w:rPr>
                <w:color w:val="FF0000"/>
                <w:spacing w:val="-3"/>
              </w:rPr>
              <w:t>条款号</w:t>
            </w:r>
          </w:p>
          <w:p>
            <w:pPr>
              <w:pStyle w:val="6"/>
              <w:spacing w:before="166" w:line="220" w:lineRule="auto"/>
              <w:ind w:left="118"/>
              <w:jc w:val="both"/>
              <w:rPr>
                <w:rFonts w:hint="default"/>
                <w:lang w:val="en-US"/>
              </w:rPr>
            </w:pPr>
            <w:r>
              <w:t>依据</w:t>
            </w:r>
            <w:r>
              <w:rPr>
                <w:spacing w:val="-12"/>
              </w:rPr>
              <w:t>：</w:t>
            </w:r>
            <w:r>
              <w:rPr>
                <w:rFonts w:hint="eastAsia"/>
                <w:spacing w:val="-12"/>
                <w:lang w:val="en-US" w:eastAsia="zh-CN"/>
              </w:rPr>
              <w:t>（粤人社规【2019】33号）第三章四（四）学术成果条件</w:t>
            </w:r>
          </w:p>
          <w:p>
            <w:pPr>
              <w:pStyle w:val="6"/>
              <w:spacing w:before="277" w:line="360" w:lineRule="auto"/>
              <w:ind w:left="115"/>
              <w:jc w:val="both"/>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pPr>
              <w:pStyle w:val="6"/>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pPr>
              <w:pStyle w:val="6"/>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1.出版专著1部（独立作者或主要编著者，个人不少于3万字）。</w:t>
            </w:r>
          </w:p>
          <w:p>
            <w:pPr>
              <w:pStyle w:val="6"/>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2.出版著作1部（主要编著者，个人不少于2万字）。</w:t>
            </w:r>
          </w:p>
          <w:p>
            <w:pPr>
              <w:pStyle w:val="6"/>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3.本专业译著1部（主要编著者，个人不少于5万字）。</w:t>
            </w:r>
          </w:p>
          <w:p>
            <w:pPr>
              <w:pStyle w:val="6"/>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4.在申报专业的学术刊物发表论文2篇以上。</w:t>
            </w:r>
          </w:p>
          <w:p>
            <w:pPr>
              <w:pStyle w:val="6"/>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5.在申报专业的学术刊物发表论文 1 篇及提交本专业专项技术分析（论证）报告 2 篇以上（每篇字数不少于 2000 字）。</w:t>
            </w:r>
          </w:p>
          <w:p>
            <w:pPr>
              <w:pStyle w:val="6"/>
              <w:spacing w:before="50" w:line="360" w:lineRule="auto"/>
              <w:ind w:firstLine="414" w:firstLineChars="200"/>
              <w:rPr>
                <w:rFonts w:hint="eastAsia" w:ascii="宋体" w:hAnsi="宋体" w:eastAsia="宋体" w:cs="宋体"/>
                <w:spacing w:val="-7"/>
                <w:lang w:val="en-US" w:eastAsia="zh-CN"/>
              </w:rPr>
            </w:pPr>
            <w:r>
              <w:rPr>
                <w:rFonts w:hint="eastAsia" w:ascii="宋体" w:hAnsi="宋体" w:eastAsia="宋体" w:cs="宋体"/>
                <w:b/>
                <w:bCs/>
                <w:spacing w:val="-7"/>
                <w:lang w:val="en-US" w:eastAsia="zh-CN"/>
              </w:rPr>
              <w:t>上面所列的论文、著作或技术分析报告，是指对本人的专业工作成果的理论阐述，凡是与本人专业工作课题不相联的论文、著作不属此列。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5610" w:type="dxa"/>
            <w:vAlign w:val="top"/>
          </w:tcPr>
          <w:p>
            <w:pPr>
              <w:pStyle w:val="6"/>
              <w:spacing w:before="72" w:line="360" w:lineRule="auto"/>
              <w:ind w:left="115" w:right="44" w:firstLine="29"/>
              <w:rPr>
                <w:rFonts w:hint="eastAsia" w:eastAsia="宋体"/>
                <w:lang w:eastAsia="zh-CN"/>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r>
              <w:rPr>
                <w:rFonts w:hint="eastAsia"/>
                <w:spacing w:val="-1"/>
                <w:lang w:eastAsia="zh-CN"/>
              </w:rPr>
              <w:t>！</w:t>
            </w:r>
          </w:p>
          <w:p>
            <w:pPr>
              <w:spacing w:line="360" w:lineRule="auto"/>
              <w:rPr>
                <w:rFonts w:ascii="Arial"/>
                <w:sz w:val="21"/>
              </w:rPr>
            </w:pPr>
          </w:p>
          <w:p>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tc>
      </w:tr>
    </w:tbl>
    <w:p>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pPr>
        <w:pStyle w:val="2"/>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符合条件的条款：请参考《广东省建筑工程技术人才职称评价改革实施方案》(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w:t>
      </w:r>
      <w:r>
        <w:rPr>
          <w:rFonts w:hint="eastAsia" w:ascii="宋体" w:hAnsi="宋体" w:eastAsia="宋体" w:cs="宋体"/>
          <w:sz w:val="21"/>
          <w:szCs w:val="18"/>
          <w:lang w:val="en-US" w:eastAsia="zh-CN"/>
        </w:rPr>
        <w:t>19</w:t>
      </w:r>
      <w:r>
        <w:rPr>
          <w:rFonts w:hint="eastAsia" w:ascii="宋体" w:hAnsi="宋体" w:eastAsia="宋体" w:cs="宋体"/>
          <w:sz w:val="21"/>
          <w:szCs w:val="18"/>
        </w:rPr>
        <w:t>〕3</w:t>
      </w:r>
      <w:r>
        <w:rPr>
          <w:rFonts w:hint="eastAsia" w:ascii="宋体" w:hAnsi="宋体" w:eastAsia="宋体" w:cs="宋体"/>
          <w:sz w:val="21"/>
          <w:szCs w:val="18"/>
          <w:lang w:val="en-US" w:eastAsia="zh-CN"/>
        </w:rPr>
        <w:t>3</w:t>
      </w:r>
      <w:r>
        <w:rPr>
          <w:rFonts w:hint="eastAsia" w:ascii="宋体" w:hAnsi="宋体" w:eastAsia="宋体" w:cs="宋体"/>
          <w:sz w:val="21"/>
          <w:szCs w:val="18"/>
        </w:rPr>
        <w:t>号)。</w:t>
      </w:r>
    </w:p>
    <w:p>
      <w:pPr>
        <w:jc w:val="right"/>
        <w:rPr>
          <w:rFonts w:ascii="Arial"/>
          <w:sz w:val="21"/>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Y5YjlmZTBjNjczZGY0NTI0MWFiNWJhMjRjYWY2YTYifQ=="/>
  </w:docVars>
  <w:rsids>
    <w:rsidRoot w:val="00000000"/>
    <w:rsid w:val="05C25634"/>
    <w:rsid w:val="05C30814"/>
    <w:rsid w:val="07F65667"/>
    <w:rsid w:val="0D670889"/>
    <w:rsid w:val="0FC401FA"/>
    <w:rsid w:val="12665599"/>
    <w:rsid w:val="12C34799"/>
    <w:rsid w:val="141D612B"/>
    <w:rsid w:val="161B48EC"/>
    <w:rsid w:val="18155A97"/>
    <w:rsid w:val="1A19144D"/>
    <w:rsid w:val="1D8D60CF"/>
    <w:rsid w:val="1DF66CA9"/>
    <w:rsid w:val="20A7394C"/>
    <w:rsid w:val="236F1905"/>
    <w:rsid w:val="244A6AC8"/>
    <w:rsid w:val="2CBE100D"/>
    <w:rsid w:val="2FEB4AE2"/>
    <w:rsid w:val="32A001FB"/>
    <w:rsid w:val="32CA0CE2"/>
    <w:rsid w:val="364A59C2"/>
    <w:rsid w:val="3C4165AB"/>
    <w:rsid w:val="4ADD71B7"/>
    <w:rsid w:val="4DF0398D"/>
    <w:rsid w:val="4E485577"/>
    <w:rsid w:val="56D77DE0"/>
    <w:rsid w:val="58F6189E"/>
    <w:rsid w:val="630B32EB"/>
    <w:rsid w:val="66CE21D2"/>
    <w:rsid w:val="6FE70C3C"/>
    <w:rsid w:val="72AA3B7F"/>
    <w:rsid w:val="76FD398B"/>
    <w:rsid w:val="791365FE"/>
    <w:rsid w:val="795A422D"/>
    <w:rsid w:val="7BAE78CE"/>
    <w:rsid w:val="7E8D6E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 w:type="character" w:customStyle="1" w:styleId="7">
    <w:name w:val="font11"/>
    <w:basedOn w:val="4"/>
    <w:autoRedefine/>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冯荣</cp:lastModifiedBy>
  <dcterms:modified xsi:type="dcterms:W3CDTF">2024-01-09T08:52:49Z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2024-01-03T11:34:26Z</vt:filetime>
  </property>
  <property fmtid="{D5CDD505-2E9C-101B-9397-08002B2CF9AE}" pid="4" name="KSOProductBuildVer">
    <vt:lpwstr>2052-12.1.0.16120</vt:lpwstr>
  </property>
  <property fmtid="{D5CDD505-2E9C-101B-9397-08002B2CF9AE}" pid="5" name="ICV">
    <vt:lpwstr>53E6ACD3E9B14904A4660320E7494BF6_13</vt:lpwstr>
  </property>
</Properties>
</file>